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Procedure di valutazione relative alla verifica dell'impatto della regolamentazione (VIR) ai sensi dell'art. 14, comma 4, della legge 28 novembre 2005, n. 246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Procedure di valutazione relative alla verifica dell'impatto della regolamentazione (VIR) ai sensi dell'art. 14, comma 4, della legge 28 novembre 2005, n. 246.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