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e di valutazione relative all'analisi dell'impatto della regolamentazione (AIR) ai sensi dell'art.14, comma 1, della legge 28 novembre 2005, n. 246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e di valutazione relative all'analisi dell'impatto della regolamentazione (AIR) ai sensi dell'art.14, comma 1, della legge 28 novembre 2005, n. 246.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