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 PROCEDURE AMMINISTRATIVE E CONTABILI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Contratti e Appalti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Acquisti ed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Generale o di altri funzionari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Del Gatto Alessandra </w:t>
            </w:r>
          </w:p>
          <w:p>
            <w:pPr>
              <w:jc w:val="both"/>
            </w:pPr>
            <w:r>
              <w:rPr>
                <w:sz w:val="22"/>
                <w:szCs w:val="22"/>
              </w:rPr>
              <w:t xml:space="preserve">Sig.ra Romagnoli Jenny </w:t>
            </w:r>
          </w:p>
          <w:p>
            <w:pPr>
              <w:jc w:val="both"/>
            </w:pPr>
            <w:r>
              <w:rPr>
                <w:sz w:val="22"/>
                <w:szCs w:val="22"/>
              </w:rPr>
              <w:t xml:space="preserve">Sig.ra Valeri Laura </w:t>
            </w:r>
          </w:p>
          <w:p>
            <w:pPr>
              <w:jc w:val="both"/>
            </w:pPr>
            <w:r>
              <w:rPr>
                <w:sz w:val="22"/>
                <w:szCs w:val="22"/>
              </w:rPr>
              <w:t xml:space="preserve">Sig.ra Vitturini Maria Lina </w:t>
            </w:r>
          </w:p>
          <w:p>
            <w:pPr>
              <w:jc w:val="both"/>
            </w:pPr>
            <w:r>
              <w:rPr>
                <w:sz w:val="22"/>
                <w:szCs w:val="22"/>
              </w:rPr>
              <w:t xml:space="preserve">Sig.ra Giansanti Alba </w:t>
            </w:r>
          </w:p>
          <w:p>
            <w:pPr>
              <w:jc w:val="both"/>
            </w:pPr>
            <w:r>
              <w:rPr>
                <w:sz w:val="22"/>
                <w:szCs w:val="22"/>
              </w:rPr>
              <w:t xml:space="preserve">Sig. Catalini Marco </w:t>
            </w:r>
          </w:p>
          <w:p>
            <w:pPr>
              <w:jc w:val="both"/>
            </w:pPr>
            <w:r>
              <w:rPr>
                <w:sz w:val="22"/>
                <w:szCs w:val="22"/>
              </w:rPr>
              <w:t xml:space="preserve">Sig.ra Nicolai Patrizia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Acquisti ed alienazioni immobiliari, relative permute, appalti e concessioni che non siano previsti espressamente in atti fondamentali del Consiglio o che non ne costituiscano mera esecuzione e che, comunque, non rientrino nella ordinaria amministrazione di funzioni e servizi di competenza della Giunta, del Segretario Generale o di altri funzionari.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