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con associazioni e altri enti di diritto privato non di competenza del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con associazioni e altri enti di diritto privato non di competenza del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