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e criteri di massima per il nucleo di valutazione/OIV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e criteri di massima per il nucleo di valutazione/OIV.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