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ariazioni al bilancio ai sensi dell'articolo 42, comma 3, del T.U. 267/2000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ariazioni al bilancio ai sensi dell'articolo 42, comma 3, del T.U. 267/2000.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