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Controllo strategico ai sensi dell'art. 147-ter del D.Lgs. 267/2000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Spaccapaniccia Vissia </w:t>
            </w:r>
          </w:p>
          <w:p>
            <w:pPr>
              <w:jc w:val="both"/>
            </w:pPr>
            <w:r>
              <w:rPr>
                <w:sz w:val="22"/>
                <w:szCs w:val="22"/>
              </w:rPr>
              <w:t xml:space="preserve">Sig. Ciucani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Controllo strategico ai sensi dell'art. 147-ter del D.Lgs. 267/2000.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