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ramma triennale ed annuale del fabbisogno di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ramma triennale ed annuale del fabbisogno di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