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Stato civile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Stato civile: Annotazione sentenze di scioglimento del matrimonio civile, di cessazione degli effetti civili del matrimonio religioso (concordatario) o di delibazione sentenze ecclesiastiche di annullamento di matrimonio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Laureti Pasqualina </w:t>
            </w:r>
          </w:p>
          <w:p>
            <w:pPr>
              <w:jc w:val="both"/>
            </w:pPr>
            <w:r>
              <w:rPr>
                <w:sz w:val="22"/>
                <w:szCs w:val="22"/>
              </w:rPr>
              <w:t xml:space="preserve">Sig.ra Montanini Catia </w:t>
            </w:r>
          </w:p>
          <w:p>
            <w:pPr>
              <w:jc w:val="both"/>
            </w:pPr>
            <w:r>
              <w:rPr>
                <w:sz w:val="22"/>
                <w:szCs w:val="22"/>
              </w:rPr>
              <w:t xml:space="preserve">Sig. Mecozzi Nicola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Stato civile: Annotazione sentenze di scioglimento del matrimonio civile, di cessazione degli effetti civili del matrimonio religioso (concordatario) o di delibazione sentenze ecclesiastiche di annullamento di matrimonio.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